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4EA36614" w14:textId="77777777" w:rsidR="00400BB9" w:rsidRDefault="00400BB9" w:rsidP="00400BB9">
      <w:pPr>
        <w:spacing w:after="0" w:line="240" w:lineRule="auto"/>
        <w:rPr>
          <w:rFonts w:eastAsiaTheme="majorEastAsia" w:cstheme="majorBidi"/>
          <w:b/>
          <w:color w:val="1F497D" w:themeColor="text2"/>
          <w:spacing w:val="5"/>
          <w:kern w:val="28"/>
          <w:sz w:val="8"/>
          <w:szCs w:val="8"/>
        </w:rPr>
      </w:pPr>
    </w:p>
    <w:p w14:paraId="454880FB" w14:textId="0988EDBC" w:rsidR="00400BB9" w:rsidRDefault="00D46568" w:rsidP="00400BB9">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651502E3">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Pr="003C4D47" w:rsidRDefault="005560B8" w:rsidP="005560B8">
      <w:pPr>
        <w:spacing w:after="0" w:line="240" w:lineRule="auto"/>
        <w:rPr>
          <w:b/>
          <w:sz w:val="14"/>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3223BC" w:rsidRPr="00EC53CA" w14:paraId="7338468D" w14:textId="77777777" w:rsidTr="003C4D47">
        <w:tc>
          <w:tcPr>
            <w:tcW w:w="4698" w:type="dxa"/>
          </w:tcPr>
          <w:p w14:paraId="5D5104E0" w14:textId="76956213" w:rsidR="003223BC" w:rsidRPr="00EC53CA" w:rsidRDefault="003223BC" w:rsidP="00EE7474">
            <w:pPr>
              <w:spacing w:after="0"/>
              <w:rPr>
                <w:b/>
                <w:sz w:val="24"/>
              </w:rPr>
            </w:pPr>
            <w:r w:rsidRPr="00EC53CA">
              <w:rPr>
                <w:b/>
                <w:sz w:val="24"/>
              </w:rPr>
              <w:t>Release Date:</w:t>
            </w:r>
            <w:r w:rsidRPr="00CA1D19">
              <w:rPr>
                <w:sz w:val="24"/>
              </w:rPr>
              <w:t xml:space="preserve">  </w:t>
            </w:r>
            <w:r w:rsidR="008E7ACA">
              <w:rPr>
                <w:sz w:val="24"/>
              </w:rPr>
              <w:t>Oct. 20, 2021</w:t>
            </w:r>
          </w:p>
        </w:tc>
        <w:tc>
          <w:tcPr>
            <w:tcW w:w="4878"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3C4D47">
        <w:tc>
          <w:tcPr>
            <w:tcW w:w="4698" w:type="dxa"/>
          </w:tcPr>
          <w:p w14:paraId="50F776C6" w14:textId="59B83172" w:rsidR="008E7ACA" w:rsidRPr="008E7ACA" w:rsidRDefault="003223BC" w:rsidP="003C4D47">
            <w:pPr>
              <w:spacing w:after="0"/>
              <w:rPr>
                <w:bCs/>
                <w:sz w:val="24"/>
              </w:rPr>
            </w:pPr>
            <w:r>
              <w:rPr>
                <w:b/>
                <w:sz w:val="24"/>
              </w:rPr>
              <w:t>Release Number:</w:t>
            </w:r>
            <w:r w:rsidRPr="00EC53CA">
              <w:rPr>
                <w:sz w:val="24"/>
              </w:rPr>
              <w:t xml:space="preserve">  </w:t>
            </w:r>
            <w:r w:rsidR="008E7ACA">
              <w:rPr>
                <w:sz w:val="24"/>
              </w:rPr>
              <w:t>TX 17231-</w:t>
            </w:r>
            <w:r w:rsidR="004217DE">
              <w:rPr>
                <w:sz w:val="24"/>
              </w:rPr>
              <w:t>01</w:t>
            </w:r>
            <w:r w:rsidR="003C4D47">
              <w:rPr>
                <w:sz w:val="24"/>
              </w:rPr>
              <w:t xml:space="preserve">, </w:t>
            </w:r>
            <w:r w:rsidR="008E7ACA" w:rsidRPr="008E7ACA">
              <w:rPr>
                <w:bCs/>
                <w:sz w:val="24"/>
              </w:rPr>
              <w:t>TX 17232-01</w:t>
            </w:r>
          </w:p>
        </w:tc>
        <w:tc>
          <w:tcPr>
            <w:tcW w:w="4878"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3C4D47" w:rsidRDefault="005560B8" w:rsidP="005560B8">
      <w:pPr>
        <w:spacing w:after="0" w:line="240" w:lineRule="auto"/>
        <w:rPr>
          <w:sz w:val="14"/>
          <w:szCs w:val="14"/>
        </w:rPr>
      </w:pPr>
    </w:p>
    <w:p w14:paraId="0FFE0D5D" w14:textId="69EE4F79" w:rsidR="00156CE0" w:rsidRPr="00194199" w:rsidRDefault="004217DE" w:rsidP="00194199">
      <w:pPr>
        <w:pStyle w:val="Heading1"/>
      </w:pPr>
      <w:r w:rsidRPr="004217DE">
        <w:t>SBA Economic Injury Disaster Loans Available to</w:t>
      </w:r>
      <w:r w:rsidR="00B872B1">
        <w:t> </w:t>
      </w:r>
      <w:r w:rsidR="008E7ACA">
        <w:t>Texas</w:t>
      </w:r>
      <w:r w:rsidR="00B872B1">
        <w:t> </w:t>
      </w:r>
      <w:r w:rsidRPr="004217DE">
        <w:t>Small</w:t>
      </w:r>
      <w:r>
        <w:t> </w:t>
      </w:r>
      <w:r w:rsidRPr="004217DE">
        <w:t>Businesses</w:t>
      </w:r>
    </w:p>
    <w:p w14:paraId="692A3B6F" w14:textId="77777777" w:rsidR="00156CE0" w:rsidRPr="003C4D47" w:rsidRDefault="00156CE0" w:rsidP="005560B8">
      <w:pPr>
        <w:spacing w:after="0" w:line="240" w:lineRule="auto"/>
        <w:rPr>
          <w:color w:val="1F497D" w:themeColor="text2"/>
          <w:sz w:val="12"/>
          <w:szCs w:val="12"/>
        </w:rPr>
      </w:pPr>
    </w:p>
    <w:p w14:paraId="4BEEF172" w14:textId="3C3FA681" w:rsidR="004217DE" w:rsidRPr="003C4D47" w:rsidRDefault="006D51FE" w:rsidP="00A87EF7">
      <w:pPr>
        <w:widowControl w:val="0"/>
        <w:spacing w:after="0" w:line="240" w:lineRule="auto"/>
        <w:rPr>
          <w:rFonts w:eastAsia="Times New Roman" w:cs="Times New Roman"/>
          <w:spacing w:val="-6"/>
        </w:rPr>
      </w:pPr>
      <w:r w:rsidRPr="003C4D47">
        <w:rPr>
          <w:b/>
        </w:rPr>
        <w:t>SACRAMENTO, Calif.</w:t>
      </w:r>
      <w:r w:rsidR="00156CE0" w:rsidRPr="003C4D47">
        <w:t xml:space="preserve"> –</w:t>
      </w:r>
      <w:r w:rsidR="008E20F6" w:rsidRPr="003C4D47">
        <w:t xml:space="preserve"> </w:t>
      </w:r>
      <w:r w:rsidR="004217DE" w:rsidRPr="003C4D47">
        <w:rPr>
          <w:rFonts w:eastAsia="Times New Roman" w:cs="Times New Roman"/>
          <w:spacing w:val="-6"/>
        </w:rPr>
        <w:t>Small nonfarm businesses in the following counties are now eligible to apply for low</w:t>
      </w:r>
      <w:r w:rsidR="004217DE" w:rsidRPr="003C4D47">
        <w:rPr>
          <w:rFonts w:eastAsia="Times New Roman" w:cs="Times New Roman"/>
          <w:spacing w:val="-6"/>
        </w:rPr>
        <w:noBreakHyphen/>
        <w:t xml:space="preserve">interest federal disaster loans from the U.S. Small Business Administration. These loans offset economic losses because of reduced revenues caused by </w:t>
      </w:r>
      <w:r w:rsidR="008E7ACA" w:rsidRPr="003C4D47">
        <w:rPr>
          <w:rFonts w:eastAsia="Times New Roman" w:cs="Times New Roman"/>
          <w:spacing w:val="-6"/>
        </w:rPr>
        <w:t>excessive moisture</w:t>
      </w:r>
      <w:r w:rsidR="00504B62" w:rsidRPr="003C4D47">
        <w:rPr>
          <w:rFonts w:eastAsia="Times New Roman" w:cs="Times New Roman"/>
          <w:spacing w:val="-6"/>
        </w:rPr>
        <w:t xml:space="preserve"> </w:t>
      </w:r>
      <w:r w:rsidR="004217DE" w:rsidRPr="003C4D47">
        <w:rPr>
          <w:rFonts w:eastAsia="Times New Roman" w:cs="Times New Roman"/>
          <w:spacing w:val="-6"/>
        </w:rPr>
        <w:t xml:space="preserve">that occurred in the following primary </w:t>
      </w:r>
      <w:r w:rsidR="008E7ACA" w:rsidRPr="003C4D47">
        <w:rPr>
          <w:rFonts w:eastAsia="Times New Roman" w:cs="Times New Roman"/>
          <w:color w:val="000000"/>
          <w:spacing w:val="-6"/>
        </w:rPr>
        <w:t>counties</w:t>
      </w:r>
      <w:r w:rsidR="00737847" w:rsidRPr="003C4D47">
        <w:rPr>
          <w:rFonts w:eastAsia="Times New Roman" w:cs="Times New Roman"/>
          <w:color w:val="000000"/>
          <w:spacing w:val="-6"/>
        </w:rPr>
        <w:t xml:space="preserve"> in </w:t>
      </w:r>
      <w:r w:rsidR="008E7ACA" w:rsidRPr="003C4D47">
        <w:t>Texas</w:t>
      </w:r>
      <w:r w:rsidR="004217DE" w:rsidRPr="003C4D47">
        <w:rPr>
          <w:rFonts w:eastAsia="Times New Roman" w:cs="Times New Roman"/>
          <w:spacing w:val="-6"/>
        </w:rPr>
        <w:t>, announced Director Tanya N. Garfield of SBA’s Disaster Field Operations Center-West.</w:t>
      </w:r>
    </w:p>
    <w:p w14:paraId="28B17596" w14:textId="77777777" w:rsidR="004217DE" w:rsidRPr="003C4D47" w:rsidRDefault="004217DE" w:rsidP="00A87EF7">
      <w:pPr>
        <w:widowControl w:val="0"/>
        <w:spacing w:after="0" w:line="240" w:lineRule="auto"/>
        <w:jc w:val="both"/>
        <w:rPr>
          <w:rFonts w:eastAsia="Times New Roman" w:cs="Times New Roman"/>
          <w:spacing w:val="-6"/>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1357"/>
        <w:gridCol w:w="3226"/>
        <w:gridCol w:w="1086"/>
        <w:gridCol w:w="2127"/>
        <w:gridCol w:w="725"/>
      </w:tblGrid>
      <w:tr w:rsidR="00D46568" w:rsidRPr="004217DE" w14:paraId="1E33C31B" w14:textId="77777777" w:rsidTr="00D46568">
        <w:tc>
          <w:tcPr>
            <w:tcW w:w="489" w:type="pct"/>
            <w:tcMar>
              <w:top w:w="43" w:type="dxa"/>
              <w:left w:w="43" w:type="dxa"/>
              <w:right w:w="43" w:type="dxa"/>
            </w:tcMar>
          </w:tcPr>
          <w:p w14:paraId="3AF8C6CC" w14:textId="77777777" w:rsidR="004217DE" w:rsidRPr="004217DE" w:rsidRDefault="004217DE" w:rsidP="004217DE">
            <w:pPr>
              <w:widowControl w:val="0"/>
              <w:spacing w:after="0" w:line="240" w:lineRule="auto"/>
              <w:jc w:val="center"/>
              <w:rPr>
                <w:rFonts w:eastAsia="Times New Roman" w:cs="Times New Roman"/>
                <w:b/>
                <w:spacing w:val="-8"/>
                <w:sz w:val="18"/>
              </w:rPr>
            </w:pPr>
            <w:r w:rsidRPr="004217DE">
              <w:rPr>
                <w:rFonts w:eastAsia="Times New Roman" w:cs="Times New Roman"/>
                <w:b/>
                <w:spacing w:val="-8"/>
                <w:sz w:val="18"/>
              </w:rPr>
              <w:t>Declaration</w:t>
            </w:r>
          </w:p>
          <w:p w14:paraId="74EF48A3" w14:textId="77777777" w:rsidR="004217DE" w:rsidRPr="004217DE" w:rsidRDefault="004217DE" w:rsidP="004217DE">
            <w:pPr>
              <w:widowControl w:val="0"/>
              <w:spacing w:after="0" w:line="240" w:lineRule="auto"/>
              <w:jc w:val="center"/>
              <w:rPr>
                <w:rFonts w:eastAsia="Times New Roman" w:cs="Times New Roman"/>
                <w:b/>
                <w:spacing w:val="-8"/>
                <w:sz w:val="18"/>
              </w:rPr>
            </w:pPr>
            <w:r w:rsidRPr="004217DE">
              <w:rPr>
                <w:rFonts w:eastAsia="Times New Roman" w:cs="Times New Roman"/>
                <w:b/>
                <w:spacing w:val="-8"/>
                <w:sz w:val="18"/>
              </w:rPr>
              <w:t>Number</w:t>
            </w:r>
          </w:p>
        </w:tc>
        <w:tc>
          <w:tcPr>
            <w:tcW w:w="718" w:type="pct"/>
            <w:tcMar>
              <w:top w:w="43" w:type="dxa"/>
              <w:left w:w="43" w:type="dxa"/>
              <w:right w:w="43" w:type="dxa"/>
            </w:tcMar>
          </w:tcPr>
          <w:p w14:paraId="1AC28ED3" w14:textId="77777777" w:rsidR="004217DE" w:rsidRPr="004217DE" w:rsidRDefault="004217DE" w:rsidP="004217DE">
            <w:pPr>
              <w:widowControl w:val="0"/>
              <w:spacing w:after="0" w:line="240" w:lineRule="auto"/>
              <w:jc w:val="center"/>
              <w:rPr>
                <w:rFonts w:eastAsia="Times New Roman" w:cs="Times New Roman"/>
                <w:b/>
                <w:spacing w:val="-8"/>
                <w:sz w:val="18"/>
              </w:rPr>
            </w:pPr>
            <w:r w:rsidRPr="004217DE">
              <w:rPr>
                <w:rFonts w:eastAsia="Times New Roman" w:cs="Times New Roman"/>
                <w:b/>
                <w:spacing w:val="-8"/>
                <w:sz w:val="18"/>
              </w:rPr>
              <w:t xml:space="preserve">Primary </w:t>
            </w:r>
          </w:p>
          <w:p w14:paraId="34EE0700" w14:textId="455A7AAF" w:rsidR="004217DE" w:rsidRPr="004217DE" w:rsidRDefault="008E7ACA" w:rsidP="004217DE">
            <w:pPr>
              <w:widowControl w:val="0"/>
              <w:spacing w:after="0" w:line="240" w:lineRule="auto"/>
              <w:jc w:val="center"/>
              <w:rPr>
                <w:rFonts w:eastAsia="Times New Roman" w:cs="Times New Roman"/>
                <w:b/>
                <w:spacing w:val="-8"/>
                <w:sz w:val="18"/>
              </w:rPr>
            </w:pPr>
            <w:r>
              <w:rPr>
                <w:rFonts w:eastAsia="Times New Roman" w:cs="Times New Roman"/>
                <w:b/>
                <w:spacing w:val="-8"/>
                <w:sz w:val="18"/>
              </w:rPr>
              <w:t>Counties</w:t>
            </w:r>
          </w:p>
        </w:tc>
        <w:tc>
          <w:tcPr>
            <w:tcW w:w="1707" w:type="pct"/>
            <w:tcMar>
              <w:top w:w="43" w:type="dxa"/>
              <w:left w:w="43" w:type="dxa"/>
              <w:right w:w="43" w:type="dxa"/>
            </w:tcMar>
          </w:tcPr>
          <w:p w14:paraId="2A8F5661" w14:textId="77777777" w:rsidR="004217DE" w:rsidRPr="004217DE" w:rsidRDefault="004217DE" w:rsidP="004217DE">
            <w:pPr>
              <w:widowControl w:val="0"/>
              <w:spacing w:after="0" w:line="240" w:lineRule="auto"/>
              <w:jc w:val="center"/>
              <w:rPr>
                <w:rFonts w:eastAsia="Times New Roman" w:cs="Times New Roman"/>
                <w:b/>
                <w:spacing w:val="-8"/>
                <w:sz w:val="18"/>
              </w:rPr>
            </w:pPr>
            <w:r w:rsidRPr="004217DE">
              <w:rPr>
                <w:rFonts w:eastAsia="Times New Roman" w:cs="Times New Roman"/>
                <w:b/>
                <w:spacing w:val="-8"/>
                <w:sz w:val="18"/>
              </w:rPr>
              <w:t>Neighboring</w:t>
            </w:r>
          </w:p>
          <w:p w14:paraId="57F196BC" w14:textId="2FB6DE66" w:rsidR="004217DE" w:rsidRPr="004217DE" w:rsidRDefault="008E7ACA" w:rsidP="004217DE">
            <w:pPr>
              <w:widowControl w:val="0"/>
              <w:spacing w:after="0" w:line="240" w:lineRule="auto"/>
              <w:jc w:val="center"/>
              <w:rPr>
                <w:rFonts w:eastAsia="Times New Roman" w:cs="Times New Roman"/>
                <w:b/>
                <w:spacing w:val="-8"/>
                <w:sz w:val="18"/>
              </w:rPr>
            </w:pPr>
            <w:r>
              <w:rPr>
                <w:rFonts w:eastAsia="Times New Roman" w:cs="Times New Roman"/>
                <w:b/>
                <w:spacing w:val="-8"/>
                <w:sz w:val="18"/>
              </w:rPr>
              <w:t>Counties</w:t>
            </w:r>
          </w:p>
        </w:tc>
        <w:tc>
          <w:tcPr>
            <w:tcW w:w="575" w:type="pct"/>
            <w:tcMar>
              <w:top w:w="43" w:type="dxa"/>
              <w:left w:w="43" w:type="dxa"/>
              <w:right w:w="43" w:type="dxa"/>
            </w:tcMar>
          </w:tcPr>
          <w:p w14:paraId="6A309FC8" w14:textId="77777777" w:rsidR="004217DE" w:rsidRPr="004217DE" w:rsidRDefault="004217DE" w:rsidP="004217DE">
            <w:pPr>
              <w:widowControl w:val="0"/>
              <w:spacing w:after="0" w:line="240" w:lineRule="auto"/>
              <w:jc w:val="center"/>
              <w:rPr>
                <w:rFonts w:eastAsia="Times New Roman" w:cs="Times New Roman"/>
                <w:b/>
                <w:spacing w:val="-8"/>
                <w:sz w:val="18"/>
              </w:rPr>
            </w:pPr>
            <w:r w:rsidRPr="004217DE">
              <w:rPr>
                <w:rFonts w:eastAsia="Times New Roman" w:cs="Times New Roman"/>
                <w:b/>
                <w:spacing w:val="-8"/>
                <w:sz w:val="18"/>
              </w:rPr>
              <w:t>Incident Type</w:t>
            </w:r>
          </w:p>
        </w:tc>
        <w:tc>
          <w:tcPr>
            <w:tcW w:w="1126" w:type="pct"/>
            <w:tcMar>
              <w:top w:w="43" w:type="dxa"/>
              <w:left w:w="43" w:type="dxa"/>
              <w:right w:w="43" w:type="dxa"/>
            </w:tcMar>
          </w:tcPr>
          <w:p w14:paraId="666EB4AA" w14:textId="77777777" w:rsidR="004217DE" w:rsidRPr="004217DE" w:rsidRDefault="004217DE" w:rsidP="004217DE">
            <w:pPr>
              <w:widowControl w:val="0"/>
              <w:spacing w:after="0" w:line="240" w:lineRule="auto"/>
              <w:jc w:val="center"/>
              <w:rPr>
                <w:rFonts w:eastAsia="Times New Roman" w:cs="Times New Roman"/>
                <w:b/>
                <w:spacing w:val="-8"/>
                <w:sz w:val="18"/>
              </w:rPr>
            </w:pPr>
            <w:r w:rsidRPr="004217DE">
              <w:rPr>
                <w:rFonts w:eastAsia="Times New Roman" w:cs="Times New Roman"/>
                <w:b/>
                <w:spacing w:val="-8"/>
                <w:sz w:val="18"/>
              </w:rPr>
              <w:t>Incident Date</w:t>
            </w:r>
          </w:p>
        </w:tc>
        <w:tc>
          <w:tcPr>
            <w:tcW w:w="384" w:type="pct"/>
            <w:tcMar>
              <w:top w:w="43" w:type="dxa"/>
              <w:left w:w="43" w:type="dxa"/>
              <w:right w:w="43" w:type="dxa"/>
            </w:tcMar>
          </w:tcPr>
          <w:p w14:paraId="4015C502" w14:textId="77777777" w:rsidR="004217DE" w:rsidRPr="004217DE" w:rsidRDefault="004217DE" w:rsidP="004217DE">
            <w:pPr>
              <w:widowControl w:val="0"/>
              <w:spacing w:after="0" w:line="240" w:lineRule="auto"/>
              <w:jc w:val="center"/>
              <w:rPr>
                <w:rFonts w:eastAsia="Times New Roman" w:cs="Times New Roman"/>
                <w:b/>
                <w:spacing w:val="-8"/>
                <w:sz w:val="18"/>
              </w:rPr>
            </w:pPr>
            <w:r w:rsidRPr="004217DE">
              <w:rPr>
                <w:rFonts w:eastAsia="Times New Roman" w:cs="Times New Roman"/>
                <w:b/>
                <w:spacing w:val="-8"/>
                <w:sz w:val="18"/>
              </w:rPr>
              <w:t>Deadline</w:t>
            </w:r>
          </w:p>
        </w:tc>
      </w:tr>
      <w:tr w:rsidR="003C4D47" w:rsidRPr="003C4D47" w14:paraId="72C20188" w14:textId="77777777" w:rsidTr="00D46568">
        <w:tc>
          <w:tcPr>
            <w:tcW w:w="489" w:type="pct"/>
            <w:tcMar>
              <w:top w:w="43" w:type="dxa"/>
              <w:left w:w="43" w:type="dxa"/>
              <w:right w:w="43" w:type="dxa"/>
            </w:tcMar>
          </w:tcPr>
          <w:p w14:paraId="42D0B36E" w14:textId="58786933" w:rsidR="004217DE" w:rsidRPr="003C4D47" w:rsidRDefault="008E7ACA" w:rsidP="004217DE">
            <w:pPr>
              <w:widowControl w:val="0"/>
              <w:spacing w:after="0" w:line="240" w:lineRule="auto"/>
              <w:rPr>
                <w:rFonts w:eastAsia="Times New Roman" w:cs="Times New Roman"/>
                <w:spacing w:val="-6"/>
              </w:rPr>
            </w:pPr>
            <w:r w:rsidRPr="003C4D47">
              <w:rPr>
                <w:rFonts w:eastAsia="Times New Roman" w:cs="Times New Roman"/>
                <w:spacing w:val="-6"/>
              </w:rPr>
              <w:t>17231</w:t>
            </w:r>
          </w:p>
        </w:tc>
        <w:tc>
          <w:tcPr>
            <w:tcW w:w="718" w:type="pct"/>
            <w:tcMar>
              <w:top w:w="43" w:type="dxa"/>
              <w:left w:w="43" w:type="dxa"/>
              <w:right w:w="43" w:type="dxa"/>
            </w:tcMar>
          </w:tcPr>
          <w:p w14:paraId="5B806DE2" w14:textId="147AACE3" w:rsidR="004217DE" w:rsidRPr="003C4D47" w:rsidRDefault="004E7E91" w:rsidP="003C4D47">
            <w:pPr>
              <w:autoSpaceDE w:val="0"/>
              <w:autoSpaceDN w:val="0"/>
              <w:adjustRightInd w:val="0"/>
              <w:spacing w:after="0" w:line="240" w:lineRule="auto"/>
              <w:rPr>
                <w:rFonts w:eastAsia="Times New Roman" w:cs="Times New Roman"/>
                <w:spacing w:val="-6"/>
              </w:rPr>
            </w:pPr>
            <w:r w:rsidRPr="003C4D47">
              <w:rPr>
                <w:rFonts w:cs="Times New Roman"/>
              </w:rPr>
              <w:t>Anderson, Aransas, Brazoria, Fisher, Galveston, Goliad, Harris, Hill, Houston, Lamb, Leon, Lubbock,</w:t>
            </w:r>
            <w:r w:rsidR="003C4D47">
              <w:rPr>
                <w:rFonts w:cs="Times New Roman"/>
              </w:rPr>
              <w:t xml:space="preserve"> </w:t>
            </w:r>
            <w:r w:rsidRPr="003C4D47">
              <w:rPr>
                <w:rFonts w:cs="Times New Roman"/>
              </w:rPr>
              <w:t>Madison, McLennan, Mitchell, Nolan, Refugio, San</w:t>
            </w:r>
            <w:r w:rsidR="003C4D47">
              <w:rPr>
                <w:rFonts w:cs="Times New Roman"/>
              </w:rPr>
              <w:t> </w:t>
            </w:r>
            <w:r w:rsidRPr="003C4D47">
              <w:rPr>
                <w:rFonts w:cs="Times New Roman"/>
              </w:rPr>
              <w:t>Patricio, Scurry, Starr, Waller and Williamson</w:t>
            </w:r>
          </w:p>
        </w:tc>
        <w:tc>
          <w:tcPr>
            <w:tcW w:w="1707" w:type="pct"/>
            <w:tcMar>
              <w:top w:w="43" w:type="dxa"/>
              <w:left w:w="43" w:type="dxa"/>
              <w:right w:w="43" w:type="dxa"/>
            </w:tcMar>
          </w:tcPr>
          <w:p w14:paraId="690458A8" w14:textId="3481D71E" w:rsidR="004217DE" w:rsidRPr="003C4D47" w:rsidRDefault="004E7E91" w:rsidP="003C4D47">
            <w:pPr>
              <w:autoSpaceDE w:val="0"/>
              <w:autoSpaceDN w:val="0"/>
              <w:adjustRightInd w:val="0"/>
              <w:spacing w:after="0" w:line="240" w:lineRule="auto"/>
              <w:rPr>
                <w:rFonts w:eastAsia="Times New Roman" w:cs="Times New Roman"/>
                <w:spacing w:val="-6"/>
              </w:rPr>
            </w:pPr>
            <w:r w:rsidRPr="003C4D47">
              <w:rPr>
                <w:rFonts w:cs="Times New Roman"/>
              </w:rPr>
              <w:t>Angelina, Austin, Bailey, Bastrop, Bee, Bell, Borden, Bosque, Brazos, Brooks, Burnet, Calhoun,</w:t>
            </w:r>
            <w:r w:rsidR="003C4D47">
              <w:rPr>
                <w:rFonts w:cs="Times New Roman"/>
              </w:rPr>
              <w:t xml:space="preserve"> </w:t>
            </w:r>
            <w:r w:rsidRPr="003C4D47">
              <w:rPr>
                <w:rFonts w:cs="Times New Roman"/>
              </w:rPr>
              <w:t>Castro, Chambers, Cherokee, Cochran, Coke, Coryell, Crosby, De</w:t>
            </w:r>
            <w:r w:rsidR="003C4D47">
              <w:rPr>
                <w:rFonts w:cs="Times New Roman"/>
              </w:rPr>
              <w:t>W</w:t>
            </w:r>
            <w:r w:rsidRPr="003C4D47">
              <w:rPr>
                <w:rFonts w:cs="Times New Roman"/>
              </w:rPr>
              <w:t>itt, Ellis, Falls, Floyd, Fort</w:t>
            </w:r>
            <w:r w:rsidR="003C4D47">
              <w:rPr>
                <w:rFonts w:cs="Times New Roman"/>
              </w:rPr>
              <w:t xml:space="preserve"> </w:t>
            </w:r>
            <w:r w:rsidRPr="003C4D47">
              <w:rPr>
                <w:rFonts w:cs="Times New Roman"/>
              </w:rPr>
              <w:t>Bend, Freestone, Garza, Grimes, Hale, Henderson, Hidalgo, Hockley, Howard, Jim Hogg, Jim</w:t>
            </w:r>
            <w:r w:rsidR="003C4D47">
              <w:rPr>
                <w:rFonts w:cs="Times New Roman"/>
              </w:rPr>
              <w:t xml:space="preserve"> </w:t>
            </w:r>
            <w:r w:rsidRPr="003C4D47">
              <w:rPr>
                <w:rFonts w:cs="Times New Roman"/>
              </w:rPr>
              <w:t>Wells, Johnson, Jones, Karnes, Kent, Lee, Liberty, Limestone, Live Oak, Lynn, Matagorda,</w:t>
            </w:r>
            <w:r w:rsidR="003C4D47">
              <w:rPr>
                <w:rFonts w:cs="Times New Roman"/>
              </w:rPr>
              <w:t xml:space="preserve"> </w:t>
            </w:r>
            <w:r w:rsidRPr="003C4D47">
              <w:rPr>
                <w:rFonts w:cs="Times New Roman"/>
              </w:rPr>
              <w:t>Milam, Montgomery, Navarro, Nueces, Parmer, Robertson, Runnels, Sterling, Stonewall,</w:t>
            </w:r>
            <w:r w:rsidR="003C4D47">
              <w:rPr>
                <w:rFonts w:cs="Times New Roman"/>
              </w:rPr>
              <w:t xml:space="preserve"> </w:t>
            </w:r>
            <w:r w:rsidRPr="003C4D47">
              <w:rPr>
                <w:rFonts w:cs="Times New Roman"/>
              </w:rPr>
              <w:t>Taylor, Terry, Travis, Trinity, Victoria, Walker, Washington, Wharton and Zapata</w:t>
            </w:r>
            <w:r w:rsidR="003C4D47">
              <w:rPr>
                <w:rFonts w:cs="Times New Roman"/>
              </w:rPr>
              <w:t xml:space="preserve"> in Texas</w:t>
            </w:r>
          </w:p>
        </w:tc>
        <w:tc>
          <w:tcPr>
            <w:tcW w:w="575" w:type="pct"/>
            <w:tcMar>
              <w:top w:w="43" w:type="dxa"/>
              <w:left w:w="43" w:type="dxa"/>
              <w:right w:w="43" w:type="dxa"/>
            </w:tcMar>
          </w:tcPr>
          <w:p w14:paraId="66CA11E6" w14:textId="66781FCE" w:rsidR="004217DE" w:rsidRPr="003C4D47" w:rsidRDefault="008E7ACA" w:rsidP="004217DE">
            <w:pPr>
              <w:widowControl w:val="0"/>
              <w:spacing w:after="0" w:line="240" w:lineRule="auto"/>
              <w:rPr>
                <w:rFonts w:eastAsia="Times New Roman" w:cs="Times New Roman"/>
                <w:spacing w:val="-6"/>
              </w:rPr>
            </w:pPr>
            <w:r w:rsidRPr="003C4D47">
              <w:rPr>
                <w:rFonts w:eastAsia="Times New Roman" w:cs="Times New Roman"/>
                <w:spacing w:val="-6"/>
              </w:rPr>
              <w:t>Excessive moisture</w:t>
            </w:r>
          </w:p>
        </w:tc>
        <w:tc>
          <w:tcPr>
            <w:tcW w:w="1126" w:type="pct"/>
            <w:tcMar>
              <w:top w:w="43" w:type="dxa"/>
              <w:left w:w="43" w:type="dxa"/>
              <w:right w:w="43" w:type="dxa"/>
            </w:tcMar>
          </w:tcPr>
          <w:p w14:paraId="711DA1D5" w14:textId="55DE31D7" w:rsidR="004217DE" w:rsidRPr="003C4D47" w:rsidRDefault="004E7E91" w:rsidP="004217DE">
            <w:pPr>
              <w:widowControl w:val="0"/>
              <w:spacing w:after="0" w:line="240" w:lineRule="auto"/>
              <w:rPr>
                <w:rFonts w:eastAsia="Times New Roman" w:cs="Times New Roman"/>
                <w:spacing w:val="-6"/>
              </w:rPr>
            </w:pPr>
            <w:r w:rsidRPr="003C4D47">
              <w:rPr>
                <w:rFonts w:eastAsia="Times New Roman" w:cs="Times New Roman"/>
                <w:spacing w:val="-6"/>
              </w:rPr>
              <w:t>April 1</w:t>
            </w:r>
            <w:r w:rsidR="004217DE" w:rsidRPr="003C4D47">
              <w:rPr>
                <w:rFonts w:eastAsia="Times New Roman" w:cs="Times New Roman"/>
                <w:spacing w:val="-6"/>
              </w:rPr>
              <w:t xml:space="preserve"> </w:t>
            </w:r>
            <w:r w:rsidR="00D46568">
              <w:rPr>
                <w:rFonts w:eastAsia="Times New Roman" w:cs="Times New Roman"/>
                <w:spacing w:val="-6"/>
              </w:rPr>
              <w:t>-</w:t>
            </w:r>
            <w:r w:rsidR="004217DE" w:rsidRPr="003C4D47">
              <w:rPr>
                <w:rFonts w:eastAsia="Times New Roman" w:cs="Times New Roman"/>
                <w:spacing w:val="-6"/>
              </w:rPr>
              <w:t xml:space="preserve"> </w:t>
            </w:r>
            <w:r w:rsidRPr="003C4D47">
              <w:rPr>
                <w:rFonts w:eastAsia="Times New Roman" w:cs="Times New Roman"/>
                <w:spacing w:val="-6"/>
              </w:rPr>
              <w:t>Aug. 31</w:t>
            </w:r>
            <w:r w:rsidR="004217DE" w:rsidRPr="003C4D47">
              <w:rPr>
                <w:rFonts w:eastAsia="Times New Roman" w:cs="Times New Roman"/>
                <w:spacing w:val="-6"/>
              </w:rPr>
              <w:t xml:space="preserve">, </w:t>
            </w:r>
            <w:r w:rsidRPr="003C4D47">
              <w:rPr>
                <w:rFonts w:eastAsia="Times New Roman" w:cs="Times New Roman"/>
                <w:spacing w:val="-6"/>
              </w:rPr>
              <w:t>2021</w:t>
            </w:r>
          </w:p>
        </w:tc>
        <w:tc>
          <w:tcPr>
            <w:tcW w:w="384" w:type="pct"/>
            <w:tcMar>
              <w:top w:w="43" w:type="dxa"/>
              <w:left w:w="43" w:type="dxa"/>
              <w:right w:w="43" w:type="dxa"/>
            </w:tcMar>
          </w:tcPr>
          <w:p w14:paraId="18D65D32" w14:textId="482AE756" w:rsidR="004217DE" w:rsidRPr="003C4D47" w:rsidRDefault="008E7ACA" w:rsidP="004217DE">
            <w:pPr>
              <w:widowControl w:val="0"/>
              <w:spacing w:after="0" w:line="240" w:lineRule="auto"/>
              <w:rPr>
                <w:rFonts w:eastAsia="Times New Roman" w:cs="Times New Roman"/>
                <w:spacing w:val="-6"/>
              </w:rPr>
            </w:pPr>
            <w:r w:rsidRPr="003C4D47">
              <w:rPr>
                <w:rFonts w:eastAsia="Times New Roman" w:cs="Times New Roman"/>
                <w:spacing w:val="-6"/>
              </w:rPr>
              <w:t>6/7/22</w:t>
            </w:r>
          </w:p>
        </w:tc>
      </w:tr>
      <w:tr w:rsidR="003C4D47" w:rsidRPr="003C4D47" w14:paraId="2FD47DC9" w14:textId="77777777" w:rsidTr="00D46568">
        <w:tc>
          <w:tcPr>
            <w:tcW w:w="489" w:type="pct"/>
            <w:tcMar>
              <w:top w:w="43" w:type="dxa"/>
              <w:left w:w="43" w:type="dxa"/>
              <w:right w:w="43" w:type="dxa"/>
            </w:tcMar>
          </w:tcPr>
          <w:p w14:paraId="17C1AB5B" w14:textId="0BAE3B39" w:rsidR="004217DE" w:rsidRPr="003C4D47" w:rsidRDefault="008E7ACA" w:rsidP="004217DE">
            <w:pPr>
              <w:widowControl w:val="0"/>
              <w:spacing w:after="0" w:line="240" w:lineRule="auto"/>
              <w:rPr>
                <w:rFonts w:eastAsia="Times New Roman" w:cs="Times New Roman"/>
                <w:spacing w:val="-6"/>
              </w:rPr>
            </w:pPr>
            <w:r w:rsidRPr="003C4D47">
              <w:rPr>
                <w:rFonts w:eastAsia="Times New Roman" w:cs="Times New Roman"/>
                <w:spacing w:val="-6"/>
              </w:rPr>
              <w:t>17232</w:t>
            </w:r>
          </w:p>
        </w:tc>
        <w:tc>
          <w:tcPr>
            <w:tcW w:w="718" w:type="pct"/>
            <w:tcMar>
              <w:top w:w="43" w:type="dxa"/>
              <w:left w:w="43" w:type="dxa"/>
              <w:right w:w="43" w:type="dxa"/>
            </w:tcMar>
          </w:tcPr>
          <w:p w14:paraId="7BD77994" w14:textId="736E7585" w:rsidR="004217DE" w:rsidRPr="003C4D47" w:rsidRDefault="00F94345" w:rsidP="004217DE">
            <w:pPr>
              <w:widowControl w:val="0"/>
              <w:spacing w:after="0" w:line="240" w:lineRule="auto"/>
              <w:rPr>
                <w:rFonts w:eastAsia="Times New Roman" w:cs="Times New Roman"/>
                <w:spacing w:val="-6"/>
              </w:rPr>
            </w:pPr>
            <w:r w:rsidRPr="003C4D47">
              <w:rPr>
                <w:rFonts w:cs="Times New Roman"/>
              </w:rPr>
              <w:t>De</w:t>
            </w:r>
            <w:r w:rsidR="00D46568">
              <w:rPr>
                <w:rFonts w:cs="Times New Roman"/>
              </w:rPr>
              <w:t>W</w:t>
            </w:r>
            <w:r w:rsidRPr="003C4D47">
              <w:rPr>
                <w:rFonts w:cs="Times New Roman"/>
              </w:rPr>
              <w:t>itt, Fannin, Fort</w:t>
            </w:r>
            <w:r w:rsidR="003C4D47">
              <w:rPr>
                <w:rFonts w:cs="Times New Roman"/>
              </w:rPr>
              <w:t> </w:t>
            </w:r>
            <w:r w:rsidRPr="003C4D47">
              <w:rPr>
                <w:rFonts w:cs="Times New Roman"/>
              </w:rPr>
              <w:t>Bend and Karnes</w:t>
            </w:r>
          </w:p>
        </w:tc>
        <w:tc>
          <w:tcPr>
            <w:tcW w:w="1707" w:type="pct"/>
            <w:tcMar>
              <w:top w:w="43" w:type="dxa"/>
              <w:left w:w="43" w:type="dxa"/>
              <w:right w:w="43" w:type="dxa"/>
            </w:tcMar>
          </w:tcPr>
          <w:p w14:paraId="7E0DABD7" w14:textId="1A8D3711" w:rsidR="00E41063" w:rsidRPr="003C4D47" w:rsidRDefault="00F94345" w:rsidP="00804532">
            <w:pPr>
              <w:autoSpaceDE w:val="0"/>
              <w:autoSpaceDN w:val="0"/>
              <w:adjustRightInd w:val="0"/>
              <w:spacing w:after="0" w:line="240" w:lineRule="auto"/>
              <w:rPr>
                <w:rFonts w:cs="Times New Roman"/>
              </w:rPr>
            </w:pPr>
            <w:r w:rsidRPr="003C4D47">
              <w:rPr>
                <w:rFonts w:cs="Times New Roman"/>
              </w:rPr>
              <w:t>Atascosa, Austin, Bee, Brazoria, Collin, Delta, Goliad, Gonzales, Grayson, Harris, Hunt, Lamar,</w:t>
            </w:r>
            <w:r w:rsidR="00804532" w:rsidRPr="003C4D47">
              <w:rPr>
                <w:rFonts w:cs="Times New Roman"/>
              </w:rPr>
              <w:t xml:space="preserve"> </w:t>
            </w:r>
            <w:r w:rsidRPr="003C4D47">
              <w:rPr>
                <w:rFonts w:cs="Times New Roman"/>
              </w:rPr>
              <w:t>Lavaca, Live Oak, Victoria, Waller, Wharton</w:t>
            </w:r>
            <w:r w:rsidR="00D46568">
              <w:rPr>
                <w:rFonts w:cs="Times New Roman"/>
              </w:rPr>
              <w:t xml:space="preserve"> and </w:t>
            </w:r>
            <w:r w:rsidRPr="003C4D47">
              <w:rPr>
                <w:rFonts w:cs="Times New Roman"/>
              </w:rPr>
              <w:t>Wilson</w:t>
            </w:r>
            <w:r w:rsidR="00E41063" w:rsidRPr="003C4D47">
              <w:rPr>
                <w:rFonts w:cs="Times New Roman"/>
              </w:rPr>
              <w:t xml:space="preserve"> in Texas</w:t>
            </w:r>
            <w:r w:rsidRPr="003C4D47">
              <w:rPr>
                <w:rFonts w:cs="Times New Roman"/>
              </w:rPr>
              <w:t xml:space="preserve">; </w:t>
            </w:r>
          </w:p>
          <w:p w14:paraId="14601376" w14:textId="448A05CF" w:rsidR="004217DE" w:rsidRPr="003C4D47" w:rsidRDefault="00F94345" w:rsidP="003C4D47">
            <w:pPr>
              <w:widowControl w:val="0"/>
              <w:spacing w:before="60" w:after="0" w:line="240" w:lineRule="auto"/>
              <w:rPr>
                <w:rFonts w:eastAsia="Times New Roman" w:cs="Times New Roman"/>
                <w:spacing w:val="-6"/>
              </w:rPr>
            </w:pPr>
            <w:r w:rsidRPr="003C4D47">
              <w:rPr>
                <w:rFonts w:cs="Times New Roman"/>
              </w:rPr>
              <w:t xml:space="preserve">Bryan </w:t>
            </w:r>
            <w:r w:rsidR="00E41063" w:rsidRPr="003C4D47">
              <w:rPr>
                <w:rFonts w:cs="Times New Roman"/>
              </w:rPr>
              <w:t>in Oklahoma</w:t>
            </w:r>
          </w:p>
        </w:tc>
        <w:tc>
          <w:tcPr>
            <w:tcW w:w="575" w:type="pct"/>
            <w:tcMar>
              <w:top w:w="43" w:type="dxa"/>
              <w:left w:w="43" w:type="dxa"/>
              <w:right w:w="43" w:type="dxa"/>
            </w:tcMar>
          </w:tcPr>
          <w:p w14:paraId="44D75089" w14:textId="207FD711" w:rsidR="004217DE" w:rsidRPr="003C4D47" w:rsidRDefault="008E7ACA" w:rsidP="004217DE">
            <w:pPr>
              <w:widowControl w:val="0"/>
              <w:spacing w:after="0" w:line="240" w:lineRule="auto"/>
              <w:rPr>
                <w:rFonts w:eastAsia="Times New Roman" w:cs="Times New Roman"/>
                <w:spacing w:val="-6"/>
              </w:rPr>
            </w:pPr>
            <w:r w:rsidRPr="003C4D47">
              <w:rPr>
                <w:rFonts w:eastAsia="Times New Roman" w:cs="Times New Roman"/>
                <w:spacing w:val="-6"/>
              </w:rPr>
              <w:t>Excessive moisture</w:t>
            </w:r>
          </w:p>
        </w:tc>
        <w:tc>
          <w:tcPr>
            <w:tcW w:w="1126" w:type="pct"/>
            <w:tcMar>
              <w:top w:w="43" w:type="dxa"/>
              <w:left w:w="43" w:type="dxa"/>
              <w:right w:w="43" w:type="dxa"/>
            </w:tcMar>
          </w:tcPr>
          <w:p w14:paraId="13397A3A" w14:textId="6AF5A3D9" w:rsidR="004217DE" w:rsidRPr="003C4D47" w:rsidRDefault="004217DE" w:rsidP="004217DE">
            <w:pPr>
              <w:widowControl w:val="0"/>
              <w:spacing w:after="0" w:line="240" w:lineRule="auto"/>
              <w:rPr>
                <w:rFonts w:eastAsia="Times New Roman" w:cs="Times New Roman"/>
                <w:spacing w:val="-6"/>
              </w:rPr>
            </w:pPr>
            <w:r w:rsidRPr="003C4D47">
              <w:rPr>
                <w:rFonts w:eastAsia="Times New Roman" w:cs="Times New Roman"/>
                <w:spacing w:val="-6"/>
              </w:rPr>
              <w:t xml:space="preserve">Beginning </w:t>
            </w:r>
            <w:r w:rsidR="00F94345" w:rsidRPr="003C4D47">
              <w:rPr>
                <w:rFonts w:eastAsia="Times New Roman" w:cs="Times New Roman"/>
                <w:spacing w:val="-6"/>
              </w:rPr>
              <w:t>April 1</w:t>
            </w:r>
            <w:r w:rsidRPr="003C4D47">
              <w:rPr>
                <w:rFonts w:eastAsia="Times New Roman" w:cs="Times New Roman"/>
                <w:spacing w:val="-6"/>
              </w:rPr>
              <w:t xml:space="preserve">, </w:t>
            </w:r>
            <w:r w:rsidR="00F94345" w:rsidRPr="003C4D47">
              <w:rPr>
                <w:rFonts w:eastAsia="Times New Roman" w:cs="Times New Roman"/>
                <w:spacing w:val="-6"/>
              </w:rPr>
              <w:t>2021</w:t>
            </w:r>
          </w:p>
        </w:tc>
        <w:tc>
          <w:tcPr>
            <w:tcW w:w="384" w:type="pct"/>
            <w:tcMar>
              <w:top w:w="43" w:type="dxa"/>
              <w:left w:w="43" w:type="dxa"/>
              <w:right w:w="43" w:type="dxa"/>
            </w:tcMar>
          </w:tcPr>
          <w:p w14:paraId="1F12D079" w14:textId="124FA30D" w:rsidR="004217DE" w:rsidRPr="003C4D47" w:rsidRDefault="008E7ACA" w:rsidP="004217DE">
            <w:pPr>
              <w:widowControl w:val="0"/>
              <w:spacing w:after="0" w:line="240" w:lineRule="auto"/>
              <w:rPr>
                <w:rFonts w:eastAsia="Times New Roman" w:cs="Times New Roman"/>
                <w:spacing w:val="-6"/>
              </w:rPr>
            </w:pPr>
            <w:r w:rsidRPr="003C4D47">
              <w:rPr>
                <w:rFonts w:eastAsia="Times New Roman" w:cs="Times New Roman"/>
                <w:spacing w:val="-6"/>
              </w:rPr>
              <w:t>6/7/22</w:t>
            </w:r>
          </w:p>
        </w:tc>
      </w:tr>
    </w:tbl>
    <w:p w14:paraId="05EA5AF8" w14:textId="77777777" w:rsidR="004217DE" w:rsidRPr="003C4D47" w:rsidRDefault="004217DE" w:rsidP="004217DE">
      <w:pPr>
        <w:widowControl w:val="0"/>
        <w:spacing w:after="0" w:line="240" w:lineRule="auto"/>
        <w:jc w:val="both"/>
        <w:rPr>
          <w:rFonts w:eastAsia="Times New Roman" w:cs="Times New Roman"/>
          <w:spacing w:val="-6"/>
          <w:sz w:val="12"/>
          <w:szCs w:val="12"/>
        </w:rPr>
      </w:pPr>
    </w:p>
    <w:p w14:paraId="0AB0927F" w14:textId="77777777" w:rsidR="004217DE" w:rsidRPr="00150D03" w:rsidRDefault="004217DE" w:rsidP="00D24BD0">
      <w:pPr>
        <w:widowControl w:val="0"/>
        <w:spacing w:after="0" w:line="240" w:lineRule="auto"/>
        <w:rPr>
          <w:rFonts w:eastAsia="Times New Roman" w:cs="Times New Roman"/>
          <w:spacing w:val="-6"/>
        </w:rPr>
      </w:pPr>
      <w:r w:rsidRPr="00150D03">
        <w:rPr>
          <w:rFonts w:eastAsia="Times New Roman" w:cs="Times New Roman"/>
          <w:spacing w:val="-6"/>
        </w:rPr>
        <w:t>“SBA eligibility covers both the economic impacts on businesses dependent on farmers and ranchers that have suffered agricultural production losses caused by the disasters and businesses directly impacted by the disasters,” Garfield said.</w:t>
      </w:r>
    </w:p>
    <w:p w14:paraId="32F0C0AB" w14:textId="77777777" w:rsidR="004217DE" w:rsidRPr="003C4D47" w:rsidRDefault="004217DE" w:rsidP="00D24BD0">
      <w:pPr>
        <w:widowControl w:val="0"/>
        <w:tabs>
          <w:tab w:val="left" w:pos="4065"/>
        </w:tabs>
        <w:spacing w:after="0" w:line="240" w:lineRule="auto"/>
        <w:rPr>
          <w:rFonts w:eastAsia="Times New Roman" w:cs="Times New Roman"/>
          <w:spacing w:val="-6"/>
          <w:sz w:val="12"/>
          <w:szCs w:val="12"/>
        </w:rPr>
      </w:pPr>
    </w:p>
    <w:p w14:paraId="591C323E" w14:textId="77777777" w:rsidR="004217DE" w:rsidRPr="00150D03" w:rsidRDefault="004217DE" w:rsidP="00D24BD0">
      <w:pPr>
        <w:widowControl w:val="0"/>
        <w:spacing w:after="0" w:line="240" w:lineRule="auto"/>
        <w:rPr>
          <w:rFonts w:eastAsia="Times New Roman" w:cs="Times New Roman"/>
          <w:spacing w:val="-6"/>
        </w:rPr>
      </w:pPr>
      <w:r w:rsidRPr="00150D03">
        <w:rPr>
          <w:rFonts w:eastAsia="Times New Roman" w:cs="Times New Roman"/>
          <w:spacing w:val="-6"/>
        </w:rPr>
        <w:t>Small nonfarm businesses, small agricultural cooperatives, small businesses engaged in aquaculture and most private nonprofit organizations of any size may qualify for Economic Injury Disaster Loans of up to $2 million to help meet financial obligations and operating expenses which could have been met had the disasters not occurred.</w:t>
      </w:r>
    </w:p>
    <w:p w14:paraId="29C0515C" w14:textId="77777777" w:rsidR="004217DE" w:rsidRPr="003C4D47" w:rsidRDefault="004217DE" w:rsidP="00D24BD0">
      <w:pPr>
        <w:widowControl w:val="0"/>
        <w:spacing w:after="0" w:line="240" w:lineRule="auto"/>
        <w:rPr>
          <w:rFonts w:eastAsia="Times New Roman" w:cs="Times New Roman"/>
          <w:spacing w:val="-6"/>
          <w:sz w:val="12"/>
          <w:szCs w:val="12"/>
        </w:rPr>
      </w:pPr>
    </w:p>
    <w:p w14:paraId="51FE1248" w14:textId="581B2CBA" w:rsidR="004217DE" w:rsidRPr="00150D03" w:rsidRDefault="004217DE" w:rsidP="00D24BD0">
      <w:pPr>
        <w:tabs>
          <w:tab w:val="left" w:pos="1350"/>
          <w:tab w:val="left" w:pos="2880"/>
          <w:tab w:val="left" w:pos="4320"/>
          <w:tab w:val="left" w:pos="6120"/>
          <w:tab w:val="right" w:pos="9450"/>
        </w:tabs>
        <w:spacing w:after="0" w:line="240" w:lineRule="auto"/>
        <w:rPr>
          <w:rFonts w:eastAsia="Times New Roman" w:cs="Times New Roman"/>
          <w:spacing w:val="-6"/>
        </w:rPr>
      </w:pPr>
      <w:r w:rsidRPr="00150D03">
        <w:rPr>
          <w:rFonts w:eastAsia="Times New Roman" w:cs="Times New Roman"/>
          <w:spacing w:val="-6"/>
        </w:rPr>
        <w:t xml:space="preserve">“Eligibility for these loans is based on the financial impact of the disasters only and not on any actual property damage. These loans have an interest rate </w:t>
      </w:r>
      <w:r w:rsidR="00E16FE2" w:rsidRPr="00150D03">
        <w:rPr>
          <w:rFonts w:eastAsia="Times New Roman" w:cs="Times New Roman"/>
          <w:spacing w:val="-6"/>
        </w:rPr>
        <w:t xml:space="preserve">as low as </w:t>
      </w:r>
      <w:r w:rsidR="008E7ACA">
        <w:rPr>
          <w:rFonts w:eastAsia="Times New Roman" w:cs="Times New Roman"/>
          <w:kern w:val="24"/>
        </w:rPr>
        <w:t>3</w:t>
      </w:r>
      <w:r w:rsidRPr="00150D03">
        <w:rPr>
          <w:rFonts w:eastAsia="Times New Roman" w:cs="Times New Roman"/>
          <w:kern w:val="24"/>
        </w:rPr>
        <w:t> percent</w:t>
      </w:r>
      <w:r w:rsidRPr="00150D03">
        <w:rPr>
          <w:rFonts w:eastAsia="Times New Roman" w:cs="Times New Roman"/>
          <w:spacing w:val="-6"/>
        </w:rPr>
        <w:t xml:space="preserve"> for businesses and </w:t>
      </w:r>
      <w:r w:rsidR="008E7ACA">
        <w:rPr>
          <w:rFonts w:eastAsia="Times New Roman" w:cs="Times New Roman"/>
          <w:kern w:val="24"/>
        </w:rPr>
        <w:t>2</w:t>
      </w:r>
      <w:r w:rsidRPr="00150D03">
        <w:rPr>
          <w:rFonts w:eastAsia="Times New Roman" w:cs="Times New Roman"/>
          <w:kern w:val="24"/>
        </w:rPr>
        <w:t> percent</w:t>
      </w:r>
      <w:r w:rsidRPr="00150D03">
        <w:rPr>
          <w:rFonts w:eastAsia="Times New Roman" w:cs="Times New Roman"/>
          <w:spacing w:val="-6"/>
        </w:rPr>
        <w:t xml:space="preserve"> for private nonprofit organizations, a maximum term of 30 years, and are available to small businesses and most private nonprofits without the financial ability to offset the adverse impact without hardship,” Garfield said.</w:t>
      </w:r>
    </w:p>
    <w:p w14:paraId="1B104886" w14:textId="77777777" w:rsidR="004217DE" w:rsidRPr="003C4D47" w:rsidRDefault="004217DE" w:rsidP="00D24BD0">
      <w:pPr>
        <w:widowControl w:val="0"/>
        <w:spacing w:after="0" w:line="240" w:lineRule="auto"/>
        <w:rPr>
          <w:rFonts w:eastAsia="Times New Roman" w:cs="Times New Roman"/>
          <w:spacing w:val="-6"/>
          <w:sz w:val="12"/>
          <w:szCs w:val="12"/>
        </w:rPr>
      </w:pPr>
    </w:p>
    <w:p w14:paraId="5ED430E7" w14:textId="3E57497D" w:rsidR="00E16FE2" w:rsidRPr="00150D03" w:rsidRDefault="004217DE" w:rsidP="00E16FE2">
      <w:pPr>
        <w:spacing w:after="0" w:line="240" w:lineRule="auto"/>
        <w:rPr>
          <w:rFonts w:eastAsia="Times New Roman" w:cs="Times New Roman"/>
        </w:rPr>
      </w:pPr>
      <w:r w:rsidRPr="00150D03">
        <w:rPr>
          <w:rFonts w:eastAsia="Times New Roman" w:cs="Times New Roman"/>
          <w:spacing w:val="-6"/>
        </w:rPr>
        <w:t>By law, SBA makes economic injury available when the U.S. Secretary of Agriculture designates an agricultural disaster</w:t>
      </w:r>
      <w:r w:rsidR="00F94345">
        <w:rPr>
          <w:rFonts w:eastAsia="Times New Roman" w:cs="Times New Roman"/>
          <w:spacing w:val="-6"/>
        </w:rPr>
        <w:t xml:space="preserve">. </w:t>
      </w:r>
      <w:r w:rsidR="00737847" w:rsidRPr="00150D03">
        <w:rPr>
          <w:rFonts w:eastAsia="Times New Roman" w:cs="Times New Roman"/>
        </w:rPr>
        <w:t xml:space="preserve">The Secretary declared these declarations on </w:t>
      </w:r>
      <w:r w:rsidR="00F94345">
        <w:rPr>
          <w:rFonts w:eastAsia="Times New Roman" w:cs="Times New Roman"/>
        </w:rPr>
        <w:t>Oct. 7, 2021</w:t>
      </w:r>
      <w:r w:rsidR="00737847" w:rsidRPr="00150D03">
        <w:rPr>
          <w:rFonts w:eastAsia="Times New Roman" w:cs="Times New Roman"/>
        </w:rPr>
        <w:t>.</w:t>
      </w:r>
    </w:p>
    <w:p w14:paraId="511D5A62" w14:textId="77777777" w:rsidR="004217DE" w:rsidRPr="003C4D47" w:rsidRDefault="004217DE" w:rsidP="00D24BD0">
      <w:pPr>
        <w:spacing w:after="0" w:line="240" w:lineRule="auto"/>
        <w:rPr>
          <w:rFonts w:eastAsia="Times New Roman" w:cs="Times New Roman"/>
          <w:spacing w:val="-6"/>
          <w:sz w:val="12"/>
          <w:szCs w:val="12"/>
        </w:rPr>
      </w:pPr>
    </w:p>
    <w:p w14:paraId="6E21415C" w14:textId="766BC0DA" w:rsidR="004217DE" w:rsidRPr="00150D03" w:rsidRDefault="004217DE" w:rsidP="00D24BD0">
      <w:pPr>
        <w:spacing w:after="0" w:line="240" w:lineRule="auto"/>
        <w:rPr>
          <w:rFonts w:eastAsia="Times New Roman" w:cs="Times New Roman"/>
          <w:spacing w:val="-6"/>
        </w:rPr>
      </w:pPr>
      <w:r w:rsidRPr="00150D03">
        <w:rPr>
          <w:rFonts w:eastAsia="Times New Roman" w:cs="Times New Roman"/>
          <w:spacing w:val="-6"/>
        </w:rPr>
        <w:t>Businesses primarily engaged in farming or ranching are not eligible for SBA disaster assistance. Agricultural enterprises should contact the Farm Services Agency about the U.S. Department of Agriculture assistance made available by the Secretary’s declaration.</w:t>
      </w:r>
      <w:r w:rsidRPr="00150D03">
        <w:rPr>
          <w:rFonts w:eastAsia="Times New Roman" w:cs="Times New Roman"/>
          <w:spacing w:val="-6"/>
          <w:highlight w:val="yellow"/>
        </w:rPr>
        <w:t xml:space="preserve"> </w:t>
      </w:r>
      <w:r w:rsidRPr="00150D03">
        <w:rPr>
          <w:rFonts w:eastAsia="Times New Roman" w:cs="Times New Roman"/>
          <w:spacing w:val="-6"/>
        </w:rPr>
        <w:t xml:space="preserve"> </w:t>
      </w:r>
    </w:p>
    <w:p w14:paraId="0CD54582" w14:textId="77777777" w:rsidR="004217DE" w:rsidRPr="003C4D47" w:rsidRDefault="004217DE" w:rsidP="00D24BD0">
      <w:pPr>
        <w:autoSpaceDE w:val="0"/>
        <w:autoSpaceDN w:val="0"/>
        <w:adjustRightInd w:val="0"/>
        <w:spacing w:after="0" w:line="240" w:lineRule="auto"/>
        <w:rPr>
          <w:rFonts w:eastAsia="Times New Roman" w:cs="Times New Roman"/>
          <w:spacing w:val="-6"/>
          <w:sz w:val="12"/>
          <w:szCs w:val="12"/>
        </w:rPr>
      </w:pPr>
    </w:p>
    <w:p w14:paraId="6CD85308" w14:textId="7F29B3CC" w:rsidR="004217DE" w:rsidRPr="00150D03" w:rsidRDefault="004217DE" w:rsidP="00D24BD0">
      <w:pPr>
        <w:spacing w:after="0" w:line="240" w:lineRule="auto"/>
        <w:rPr>
          <w:rFonts w:eastAsia="Times New Roman" w:cs="Times New Roman"/>
          <w:b/>
        </w:rPr>
      </w:pPr>
      <w:r w:rsidRPr="00150D03">
        <w:rPr>
          <w:rFonts w:eastAsia="Times New Roman" w:cs="Times New Roman"/>
          <w:kern w:val="24"/>
        </w:rPr>
        <w:t xml:space="preserve">Applicants may apply online, receive additional disaster assistance information and download applications at </w:t>
      </w:r>
      <w:hyperlink r:id="rId14" w:history="1">
        <w:r w:rsidR="00FC5CA1" w:rsidRPr="00150D03">
          <w:rPr>
            <w:rStyle w:val="Hyperlink"/>
          </w:rPr>
          <w:t>https://disasterloanassistance.sba.gov/</w:t>
        </w:r>
      </w:hyperlink>
      <w:r w:rsidRPr="00150D03">
        <w:rPr>
          <w:rFonts w:eastAsia="Times New Roman" w:cs="Times New Roman"/>
          <w:kern w:val="24"/>
        </w:rPr>
        <w:t xml:space="preserve">. Applicants may also call </w:t>
      </w:r>
      <w:r w:rsidRPr="00150D03">
        <w:rPr>
          <w:rFonts w:eastAsia="Times New Roman" w:cs="Times New Roman"/>
          <w:color w:val="000000"/>
        </w:rPr>
        <w:t xml:space="preserve">SBA’s Customer Service Center at (800) 659-2955 or email </w:t>
      </w:r>
      <w:hyperlink r:id="rId15" w:history="1">
        <w:r w:rsidRPr="00150D03">
          <w:rPr>
            <w:rStyle w:val="Hyperlink"/>
          </w:rPr>
          <w:t>disastercustomerservice@sba.gov</w:t>
        </w:r>
      </w:hyperlink>
      <w:r w:rsidRPr="00150D03">
        <w:rPr>
          <w:rFonts w:eastAsia="Times New Roman" w:cs="Times New Roman"/>
          <w:color w:val="000000"/>
        </w:rPr>
        <w:t xml:space="preserve"> for more information on SBA disaster assistance. Individuals who are deaf or </w:t>
      </w:r>
      <w:r w:rsidR="00B872B1">
        <w:rPr>
          <w:rFonts w:eastAsia="Times New Roman" w:cs="Times New Roman"/>
          <w:color w:val="000000"/>
        </w:rPr>
        <w:t>hard of hearing</w:t>
      </w:r>
      <w:r w:rsidRPr="00150D03">
        <w:rPr>
          <w:rFonts w:eastAsia="Times New Roman" w:cs="Times New Roman"/>
          <w:color w:val="000000"/>
        </w:rPr>
        <w:t xml:space="preserve"> may call (800) 877-8339. Completed applications should be mailed to </w:t>
      </w:r>
      <w:r w:rsidRPr="00150D03">
        <w:rPr>
          <w:rFonts w:eastAsia="Times New Roman" w:cs="Times New Roman"/>
          <w:color w:val="000000"/>
          <w:spacing w:val="-2"/>
        </w:rPr>
        <w:t>U.S. Small Business Administration, Processing and Disbursement Center, 14925 Kingsport Road, Fort Worth, TX  76155.</w:t>
      </w:r>
    </w:p>
    <w:p w14:paraId="22B88791" w14:textId="36433903" w:rsidR="00476E1D" w:rsidRPr="003C4D47" w:rsidRDefault="00476E1D" w:rsidP="005560B8">
      <w:pPr>
        <w:spacing w:after="0" w:line="240" w:lineRule="auto"/>
        <w:rPr>
          <w:sz w:val="12"/>
          <w:szCs w:val="12"/>
        </w:rPr>
      </w:pPr>
    </w:p>
    <w:p w14:paraId="7EB1CE4B" w14:textId="77777777" w:rsidR="005560B8" w:rsidRPr="003C4D47" w:rsidRDefault="005560B8" w:rsidP="008E20F6">
      <w:pPr>
        <w:spacing w:after="0" w:line="240" w:lineRule="auto"/>
        <w:rPr>
          <w:sz w:val="12"/>
          <w:szCs w:val="12"/>
        </w:rPr>
      </w:pPr>
    </w:p>
    <w:p w14:paraId="4CE34A8E" w14:textId="446D9ACF" w:rsidR="00156CE0" w:rsidRPr="00150D03" w:rsidRDefault="00BA7C8C" w:rsidP="005560B8">
      <w:pPr>
        <w:spacing w:after="0" w:line="240" w:lineRule="auto"/>
        <w:jc w:val="center"/>
      </w:pPr>
      <w:r w:rsidRPr="00150D03">
        <w:t>###</w:t>
      </w:r>
    </w:p>
    <w:p w14:paraId="5C921D55" w14:textId="77777777" w:rsidR="005560B8" w:rsidRPr="003C4D47" w:rsidRDefault="005560B8" w:rsidP="005560B8">
      <w:pPr>
        <w:spacing w:after="0" w:line="240" w:lineRule="auto"/>
        <w:rPr>
          <w:b/>
          <w:bCs/>
          <w:sz w:val="12"/>
          <w:szCs w:val="12"/>
        </w:rPr>
      </w:pPr>
    </w:p>
    <w:p w14:paraId="5E7B017B" w14:textId="77777777" w:rsidR="0027515A" w:rsidRPr="00150D03" w:rsidRDefault="0027515A" w:rsidP="005560B8">
      <w:pPr>
        <w:spacing w:after="0" w:line="240" w:lineRule="auto"/>
        <w:rPr>
          <w:b/>
          <w:bCs/>
        </w:rPr>
      </w:pPr>
      <w:r w:rsidRPr="00150D03">
        <w:rPr>
          <w:b/>
          <w:bCs/>
        </w:rPr>
        <w:t>About the U.S. Small Business Administration</w:t>
      </w:r>
    </w:p>
    <w:p w14:paraId="4842FC3A" w14:textId="60021FE6" w:rsidR="00836AD7" w:rsidRPr="00150D03" w:rsidRDefault="00D24BD0" w:rsidP="00D24BD0">
      <w:pPr>
        <w:spacing w:after="0" w:line="240" w:lineRule="auto"/>
      </w:pPr>
      <w:r w:rsidRPr="00150D03">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6" w:history="1">
        <w:r w:rsidRPr="00150D03">
          <w:rPr>
            <w:rStyle w:val="Hyperlink"/>
          </w:rPr>
          <w:t>www.sba.gov</w:t>
        </w:r>
      </w:hyperlink>
      <w:r w:rsidRPr="00150D03">
        <w:t>.</w:t>
      </w:r>
    </w:p>
    <w:sectPr w:rsidR="00836AD7" w:rsidRPr="00150D03" w:rsidSect="00194199">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737847">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01"/>
    <w:rsid w:val="00004886"/>
    <w:rsid w:val="00007752"/>
    <w:rsid w:val="00013F02"/>
    <w:rsid w:val="00032226"/>
    <w:rsid w:val="0003489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FBD"/>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50D03"/>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C4D47"/>
    <w:rsid w:val="003D2BB4"/>
    <w:rsid w:val="003E0452"/>
    <w:rsid w:val="003E6C80"/>
    <w:rsid w:val="003E7261"/>
    <w:rsid w:val="003F436E"/>
    <w:rsid w:val="003F55D0"/>
    <w:rsid w:val="003F5689"/>
    <w:rsid w:val="003F6D5C"/>
    <w:rsid w:val="00400BB9"/>
    <w:rsid w:val="00412E44"/>
    <w:rsid w:val="00417A51"/>
    <w:rsid w:val="00421753"/>
    <w:rsid w:val="004217DE"/>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2F92"/>
    <w:rsid w:val="004E610C"/>
    <w:rsid w:val="004E7E91"/>
    <w:rsid w:val="004F0337"/>
    <w:rsid w:val="004F1545"/>
    <w:rsid w:val="004F1DD5"/>
    <w:rsid w:val="00504B62"/>
    <w:rsid w:val="005119F9"/>
    <w:rsid w:val="005153DB"/>
    <w:rsid w:val="00524559"/>
    <w:rsid w:val="00526567"/>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701B66"/>
    <w:rsid w:val="00716611"/>
    <w:rsid w:val="00721A31"/>
    <w:rsid w:val="007227CE"/>
    <w:rsid w:val="00724DB4"/>
    <w:rsid w:val="007278A5"/>
    <w:rsid w:val="00727FFC"/>
    <w:rsid w:val="0073017C"/>
    <w:rsid w:val="00736361"/>
    <w:rsid w:val="00737847"/>
    <w:rsid w:val="00744AEC"/>
    <w:rsid w:val="00753353"/>
    <w:rsid w:val="0076468D"/>
    <w:rsid w:val="00765AC4"/>
    <w:rsid w:val="007670B8"/>
    <w:rsid w:val="00781925"/>
    <w:rsid w:val="00787CF4"/>
    <w:rsid w:val="0079031E"/>
    <w:rsid w:val="007905E0"/>
    <w:rsid w:val="00792727"/>
    <w:rsid w:val="00794D48"/>
    <w:rsid w:val="007A7CFB"/>
    <w:rsid w:val="007B6F76"/>
    <w:rsid w:val="007E0758"/>
    <w:rsid w:val="007F50B3"/>
    <w:rsid w:val="00804532"/>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4D66"/>
    <w:rsid w:val="008B5A1F"/>
    <w:rsid w:val="008B7C90"/>
    <w:rsid w:val="008C3782"/>
    <w:rsid w:val="008D11DA"/>
    <w:rsid w:val="008E20F6"/>
    <w:rsid w:val="008E48CB"/>
    <w:rsid w:val="008E631E"/>
    <w:rsid w:val="008E7ACA"/>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87EF7"/>
    <w:rsid w:val="00A97443"/>
    <w:rsid w:val="00AA14CE"/>
    <w:rsid w:val="00AA6F56"/>
    <w:rsid w:val="00AB3AD9"/>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66AC"/>
    <w:rsid w:val="00B60114"/>
    <w:rsid w:val="00B60244"/>
    <w:rsid w:val="00B63BB4"/>
    <w:rsid w:val="00B64FCA"/>
    <w:rsid w:val="00B7004E"/>
    <w:rsid w:val="00B719FF"/>
    <w:rsid w:val="00B75E02"/>
    <w:rsid w:val="00B8247C"/>
    <w:rsid w:val="00B872B1"/>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4BD0"/>
    <w:rsid w:val="00D27572"/>
    <w:rsid w:val="00D30252"/>
    <w:rsid w:val="00D3248F"/>
    <w:rsid w:val="00D406CF"/>
    <w:rsid w:val="00D40CF6"/>
    <w:rsid w:val="00D46568"/>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16FE2"/>
    <w:rsid w:val="00E365EF"/>
    <w:rsid w:val="00E41063"/>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67F6C"/>
    <w:rsid w:val="00F72382"/>
    <w:rsid w:val="00F749D4"/>
    <w:rsid w:val="00F74F43"/>
    <w:rsid w:val="00F754C2"/>
    <w:rsid w:val="00F81176"/>
    <w:rsid w:val="00F94345"/>
    <w:rsid w:val="00F95A31"/>
    <w:rsid w:val="00FA1B73"/>
    <w:rsid w:val="00FA23EF"/>
    <w:rsid w:val="00FA30EC"/>
    <w:rsid w:val="00FA5DF6"/>
    <w:rsid w:val="00FA7478"/>
    <w:rsid w:val="00FA7623"/>
    <w:rsid w:val="00FB05D7"/>
    <w:rsid w:val="00FB3066"/>
    <w:rsid w:val="00FB6472"/>
    <w:rsid w:val="00FC1714"/>
    <w:rsid w:val="00FC5CA1"/>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4B6123"/>
  <w15:docId w15:val="{A287F479-B741-4C6C-9666-E04DDD0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https://disasterloan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44F9-FB4A-47BB-BB92-87EED84B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Gomes, Deborah A.</cp:lastModifiedBy>
  <cp:revision>3</cp:revision>
  <cp:lastPrinted>2018-03-28T19:09:00Z</cp:lastPrinted>
  <dcterms:created xsi:type="dcterms:W3CDTF">2021-10-20T16:14:00Z</dcterms:created>
  <dcterms:modified xsi:type="dcterms:W3CDTF">2021-10-20T17:50:00Z</dcterms:modified>
</cp:coreProperties>
</file>